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F" w:rsidRPr="00A11D44" w:rsidRDefault="00441C82" w:rsidP="00CD720F">
      <w:pPr>
        <w:pStyle w:val="Title"/>
        <w:rPr>
          <w:sz w:val="56"/>
        </w:rPr>
      </w:pPr>
      <w:r w:rsidRPr="00A11D44">
        <w:rPr>
          <w:sz w:val="56"/>
        </w:rPr>
        <w:t>Automotive Technology</w:t>
      </w:r>
      <w:r w:rsidR="00CD720F" w:rsidRPr="00A11D44">
        <w:rPr>
          <w:sz w:val="56"/>
        </w:rPr>
        <w:t xml:space="preserve"> Occupational Group</w:t>
      </w:r>
    </w:p>
    <w:p w:rsidR="003D0314" w:rsidRPr="00A11D44" w:rsidRDefault="003D0314" w:rsidP="00A11D44">
      <w:pPr>
        <w:pStyle w:val="Subtitle"/>
        <w:rPr>
          <w:rStyle w:val="IntenseEmphasis"/>
          <w:b w:val="0"/>
          <w:bCs w:val="0"/>
          <w:i/>
          <w:iCs/>
        </w:rPr>
      </w:pPr>
      <w:r w:rsidRPr="00A11D44">
        <w:rPr>
          <w:rStyle w:val="IntenseEmphasis"/>
          <w:b w:val="0"/>
          <w:bCs w:val="0"/>
          <w:i/>
          <w:iCs/>
        </w:rPr>
        <w:t>Desert/ Inland Empire Region</w:t>
      </w:r>
    </w:p>
    <w:p w:rsidR="003D0314" w:rsidRDefault="003D0314" w:rsidP="00707991">
      <w:pPr>
        <w:pStyle w:val="Heading1"/>
        <w:spacing w:before="0"/>
      </w:pPr>
      <w:r>
        <w:t xml:space="preserve">Demand for </w:t>
      </w:r>
      <w:r w:rsidR="0059795E">
        <w:t>Automotive</w:t>
      </w:r>
      <w:r>
        <w:t xml:space="preserve"> Technology Occupations</w:t>
      </w:r>
    </w:p>
    <w:p w:rsidR="00CD720F" w:rsidRDefault="00CD720F" w:rsidP="00707991">
      <w:pPr>
        <w:spacing w:line="360" w:lineRule="auto"/>
      </w:pPr>
      <w:r>
        <w:t xml:space="preserve">The following occupations are trained </w:t>
      </w:r>
      <w:r w:rsidR="00C149F5">
        <w:t xml:space="preserve">by </w:t>
      </w:r>
      <w:r w:rsidR="0059795E">
        <w:t>automotive</w:t>
      </w:r>
      <w:r w:rsidR="00980097">
        <w:t xml:space="preserve"> technology</w:t>
      </w:r>
      <w:r w:rsidR="00C149F5" w:rsidRPr="00C149F5">
        <w:t xml:space="preserve"> </w:t>
      </w:r>
      <w:r w:rsidR="00860727">
        <w:t xml:space="preserve">community college </w:t>
      </w:r>
      <w:r>
        <w:t>pro</w:t>
      </w:r>
      <w:r w:rsidR="00C149F5">
        <w:t>grams</w:t>
      </w:r>
      <w:r w:rsidR="003D0314">
        <w:t xml:space="preserve">. </w:t>
      </w:r>
      <w:r w:rsidR="00A719CA">
        <w:t>The a</w:t>
      </w:r>
      <w:r w:rsidR="0059795E">
        <w:t>utomotive service technicians and mechanics</w:t>
      </w:r>
      <w:r w:rsidR="00165F15">
        <w:t xml:space="preserve"> </w:t>
      </w:r>
      <w:r w:rsidR="00A719CA">
        <w:t xml:space="preserve">occupations is </w:t>
      </w:r>
      <w:r w:rsidR="00165F15">
        <w:t xml:space="preserve">expected to have the most job openings </w:t>
      </w:r>
      <w:r w:rsidR="0059795E">
        <w:t>(5,243</w:t>
      </w:r>
      <w:r w:rsidR="005C4289">
        <w:t xml:space="preserve"> total job openings) </w:t>
      </w:r>
      <w:r w:rsidR="00165F15">
        <w:t xml:space="preserve">over the next five years. </w:t>
      </w:r>
      <w:r w:rsidR="0059795E">
        <w:t>Electrical and electronics installers and repairers, transportation equipment</w:t>
      </w:r>
      <w:r w:rsidR="002D6B69">
        <w:t xml:space="preserve"> </w:t>
      </w:r>
      <w:r w:rsidR="00165F15">
        <w:t>is the fastest growing occupation in this group, increasing employ</w:t>
      </w:r>
      <w:r w:rsidR="0059795E">
        <w:t>ment 13</w:t>
      </w:r>
      <w:r w:rsidR="002D6B69">
        <w:t xml:space="preserve">%, and </w:t>
      </w:r>
      <w:r w:rsidR="005C4289">
        <w:t xml:space="preserve">is </w:t>
      </w:r>
      <w:r w:rsidR="0059795E">
        <w:t>expected</w:t>
      </w:r>
      <w:r w:rsidR="002D6B69">
        <w:t xml:space="preserve"> to have </w:t>
      </w:r>
      <w:r w:rsidR="0059795E">
        <w:t>nearly 100</w:t>
      </w:r>
      <w:r w:rsidR="00980097">
        <w:t xml:space="preserve"> </w:t>
      </w:r>
      <w:r w:rsidR="002D6B69">
        <w:t xml:space="preserve">job openings over the next five years.   </w:t>
      </w:r>
    </w:p>
    <w:tbl>
      <w:tblPr>
        <w:tblStyle w:val="MediumShading1-Accent5"/>
        <w:tblW w:w="13175" w:type="dxa"/>
        <w:tblLayout w:type="fixed"/>
        <w:tblLook w:val="04A0" w:firstRow="1" w:lastRow="0" w:firstColumn="1" w:lastColumn="0" w:noHBand="0" w:noVBand="1"/>
      </w:tblPr>
      <w:tblGrid>
        <w:gridCol w:w="3618"/>
        <w:gridCol w:w="1365"/>
        <w:gridCol w:w="1365"/>
        <w:gridCol w:w="1366"/>
        <w:gridCol w:w="1365"/>
        <w:gridCol w:w="1366"/>
        <w:gridCol w:w="1365"/>
        <w:gridCol w:w="1365"/>
      </w:tblGrid>
      <w:tr w:rsidR="00C149F5" w:rsidRPr="00860727" w:rsidTr="00C1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  <w:hideMark/>
          </w:tcPr>
          <w:p w:rsidR="00C149F5" w:rsidRPr="002D6B69" w:rsidRDefault="0059795E">
            <w:pPr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Automotive</w:t>
            </w:r>
            <w:r w:rsidR="00980097">
              <w:rPr>
                <w:rFonts w:cs="Arial"/>
                <w:color w:val="FFFFFF"/>
                <w:szCs w:val="20"/>
              </w:rPr>
              <w:t xml:space="preserve"> Technology </w:t>
            </w:r>
            <w:r w:rsidR="00C149F5" w:rsidRPr="002D6B69">
              <w:rPr>
                <w:rFonts w:cs="Arial"/>
                <w:color w:val="FFFFFF"/>
                <w:szCs w:val="20"/>
              </w:rPr>
              <w:t>Occupational Group (SOC Code)</w:t>
            </w:r>
          </w:p>
        </w:tc>
        <w:tc>
          <w:tcPr>
            <w:tcW w:w="1365" w:type="dxa"/>
            <w:vAlign w:val="center"/>
            <w:hideMark/>
          </w:tcPr>
          <w:p w:rsidR="00C149F5" w:rsidRPr="00860727" w:rsidRDefault="00C149F5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2016 Jobs</w:t>
            </w:r>
          </w:p>
        </w:tc>
        <w:tc>
          <w:tcPr>
            <w:tcW w:w="1365" w:type="dxa"/>
            <w:vAlign w:val="center"/>
            <w:hideMark/>
          </w:tcPr>
          <w:p w:rsidR="00C149F5" w:rsidRPr="00860727" w:rsidRDefault="00C149F5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2021 Jobs</w:t>
            </w:r>
          </w:p>
        </w:tc>
        <w:tc>
          <w:tcPr>
            <w:tcW w:w="1366" w:type="dxa"/>
            <w:vAlign w:val="center"/>
            <w:hideMark/>
          </w:tcPr>
          <w:p w:rsidR="00C149F5" w:rsidRDefault="00C149F5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2016 - 2021 % Change</w:t>
            </w:r>
          </w:p>
          <w:p w:rsidR="002D6B69" w:rsidRPr="00860727" w:rsidRDefault="002D6B69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980097">
              <w:rPr>
                <w:sz w:val="20"/>
              </w:rPr>
              <w:t>New Jobs</w:t>
            </w:r>
            <w:r>
              <w:t>)</w:t>
            </w:r>
          </w:p>
        </w:tc>
        <w:tc>
          <w:tcPr>
            <w:tcW w:w="1365" w:type="dxa"/>
            <w:vAlign w:val="center"/>
            <w:hideMark/>
          </w:tcPr>
          <w:p w:rsidR="00C149F5" w:rsidRDefault="00C149F5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2016 - 2021 Openings</w:t>
            </w:r>
          </w:p>
          <w:p w:rsidR="002D6B69" w:rsidRPr="00860727" w:rsidRDefault="002D6B69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6B69">
              <w:rPr>
                <w:sz w:val="20"/>
              </w:rPr>
              <w:t>(New and Replacement Jobs)</w:t>
            </w:r>
          </w:p>
        </w:tc>
        <w:tc>
          <w:tcPr>
            <w:tcW w:w="1366" w:type="dxa"/>
            <w:vAlign w:val="center"/>
            <w:hideMark/>
          </w:tcPr>
          <w:p w:rsidR="00C149F5" w:rsidRDefault="00C149F5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Annual Openings</w:t>
            </w:r>
          </w:p>
          <w:p w:rsidR="002D6B69" w:rsidRPr="00860727" w:rsidRDefault="002D6B69" w:rsidP="00860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6B69">
              <w:rPr>
                <w:sz w:val="20"/>
              </w:rPr>
              <w:t>(New and Replacement Jobs)</w:t>
            </w:r>
          </w:p>
        </w:tc>
        <w:tc>
          <w:tcPr>
            <w:tcW w:w="1365" w:type="dxa"/>
            <w:vAlign w:val="center"/>
          </w:tcPr>
          <w:p w:rsidR="00C149F5" w:rsidRPr="00860727" w:rsidRDefault="00C149F5" w:rsidP="00497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727">
              <w:t>Age 55+ % of Occupation</w:t>
            </w:r>
          </w:p>
        </w:tc>
        <w:tc>
          <w:tcPr>
            <w:tcW w:w="1365" w:type="dxa"/>
            <w:vAlign w:val="center"/>
          </w:tcPr>
          <w:p w:rsidR="00C149F5" w:rsidRPr="00860727" w:rsidRDefault="003D0314" w:rsidP="00C14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C149F5">
              <w:t>Middle Skill</w:t>
            </w:r>
            <w:r w:rsidR="002D6B69">
              <w:t xml:space="preserve"> Job</w:t>
            </w:r>
            <w:r w:rsidR="00C149F5">
              <w:t>?</w:t>
            </w:r>
          </w:p>
        </w:tc>
      </w:tr>
      <w:tr w:rsidR="0059795E" w:rsidRPr="00860727" w:rsidTr="0059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  <w:hideMark/>
          </w:tcPr>
          <w:p w:rsidR="0059795E" w:rsidRPr="0059795E" w:rsidRDefault="0059795E" w:rsidP="0059795E">
            <w:pPr>
              <w:rPr>
                <w:rFonts w:cs="Arial"/>
                <w:b w:val="0"/>
                <w:color w:val="000000"/>
                <w:szCs w:val="20"/>
              </w:rPr>
            </w:pPr>
            <w:r w:rsidRPr="0059795E">
              <w:rPr>
                <w:rFonts w:cs="Arial"/>
                <w:b w:val="0"/>
                <w:color w:val="000000"/>
                <w:szCs w:val="20"/>
              </w:rPr>
              <w:t>Automotive Service Technicians and Mechanics</w:t>
            </w:r>
            <w:r>
              <w:rPr>
                <w:rFonts w:cs="Arial"/>
                <w:b w:val="0"/>
                <w:color w:val="000000"/>
                <w:szCs w:val="20"/>
              </w:rPr>
              <w:t xml:space="preserve"> (49</w:t>
            </w:r>
            <w:r>
              <w:rPr>
                <w:rFonts w:cs="Arial"/>
                <w:b w:val="0"/>
                <w:color w:val="000000"/>
                <w:szCs w:val="20"/>
              </w:rPr>
              <w:noBreakHyphen/>
              <w:t>3023)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9,870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10,532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7%</w:t>
            </w:r>
          </w:p>
        </w:tc>
        <w:tc>
          <w:tcPr>
            <w:tcW w:w="1365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5,243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1,049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95E">
              <w:t>19%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95E">
              <w:t>Yes</w:t>
            </w:r>
          </w:p>
        </w:tc>
      </w:tr>
      <w:tr w:rsidR="0059795E" w:rsidRPr="00860727" w:rsidTr="00597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  <w:hideMark/>
          </w:tcPr>
          <w:p w:rsidR="0059795E" w:rsidRPr="0059795E" w:rsidRDefault="0059795E" w:rsidP="0059795E">
            <w:pPr>
              <w:rPr>
                <w:rFonts w:cs="Arial"/>
                <w:b w:val="0"/>
                <w:color w:val="000000"/>
                <w:szCs w:val="20"/>
              </w:rPr>
            </w:pPr>
            <w:r w:rsidRPr="0059795E">
              <w:rPr>
                <w:rFonts w:cs="Arial"/>
                <w:b w:val="0"/>
                <w:color w:val="000000"/>
                <w:szCs w:val="20"/>
              </w:rPr>
              <w:t>Bus and Truck Mechanics and Diesel Engine Specialists</w:t>
            </w:r>
            <w:r>
              <w:rPr>
                <w:rFonts w:cs="Arial"/>
                <w:b w:val="0"/>
                <w:color w:val="000000"/>
                <w:szCs w:val="20"/>
              </w:rPr>
              <w:t xml:space="preserve"> (49</w:t>
            </w:r>
            <w:r>
              <w:rPr>
                <w:rFonts w:cs="Arial"/>
                <w:b w:val="0"/>
                <w:color w:val="000000"/>
                <w:szCs w:val="20"/>
              </w:rPr>
              <w:noBreakHyphen/>
              <w:t>3031)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4,524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5,072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12%</w:t>
            </w:r>
          </w:p>
        </w:tc>
        <w:tc>
          <w:tcPr>
            <w:tcW w:w="1365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2,577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515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95E">
              <w:t>21%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95E">
              <w:t>Yes</w:t>
            </w:r>
          </w:p>
        </w:tc>
      </w:tr>
      <w:tr w:rsidR="0059795E" w:rsidRPr="00860727" w:rsidTr="0059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  <w:hideMark/>
          </w:tcPr>
          <w:p w:rsidR="0059795E" w:rsidRPr="0059795E" w:rsidRDefault="0059795E" w:rsidP="0059795E">
            <w:pPr>
              <w:rPr>
                <w:rFonts w:cs="Arial"/>
                <w:b w:val="0"/>
                <w:color w:val="000000"/>
                <w:szCs w:val="20"/>
              </w:rPr>
            </w:pPr>
            <w:r w:rsidRPr="0059795E">
              <w:rPr>
                <w:rFonts w:cs="Arial"/>
                <w:b w:val="0"/>
                <w:color w:val="000000"/>
                <w:szCs w:val="20"/>
              </w:rPr>
              <w:t>First-Line Supervisors of Mechanics, Installers, and Repairers</w:t>
            </w:r>
            <w:r>
              <w:rPr>
                <w:rFonts w:cs="Arial"/>
                <w:b w:val="0"/>
                <w:color w:val="000000"/>
                <w:szCs w:val="20"/>
              </w:rPr>
              <w:t xml:space="preserve"> (49</w:t>
            </w:r>
            <w:r>
              <w:rPr>
                <w:rFonts w:cs="Arial"/>
                <w:b w:val="0"/>
                <w:color w:val="000000"/>
                <w:szCs w:val="20"/>
              </w:rPr>
              <w:noBreakHyphen/>
              <w:t>1011)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4,428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4,876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10%</w:t>
            </w:r>
          </w:p>
        </w:tc>
        <w:tc>
          <w:tcPr>
            <w:tcW w:w="1365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2,397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479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95E">
              <w:t>27%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95E">
              <w:t>Yes</w:t>
            </w:r>
          </w:p>
        </w:tc>
      </w:tr>
      <w:tr w:rsidR="0059795E" w:rsidRPr="00860727" w:rsidTr="00597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  <w:hideMark/>
          </w:tcPr>
          <w:p w:rsidR="0059795E" w:rsidRPr="0059795E" w:rsidRDefault="0059795E" w:rsidP="0059795E">
            <w:pPr>
              <w:rPr>
                <w:rFonts w:cs="Arial"/>
                <w:b w:val="0"/>
                <w:color w:val="000000"/>
                <w:szCs w:val="20"/>
              </w:rPr>
            </w:pPr>
            <w:r w:rsidRPr="0059795E">
              <w:rPr>
                <w:rFonts w:cs="Arial"/>
                <w:b w:val="0"/>
                <w:color w:val="000000"/>
                <w:szCs w:val="20"/>
              </w:rPr>
              <w:t>Electrical and Electronics Installers and Repairers, Transportation Equipment</w:t>
            </w:r>
            <w:r>
              <w:rPr>
                <w:rFonts w:cs="Arial"/>
                <w:b w:val="0"/>
                <w:color w:val="000000"/>
                <w:szCs w:val="20"/>
              </w:rPr>
              <w:t xml:space="preserve"> (49</w:t>
            </w:r>
            <w:r>
              <w:rPr>
                <w:rFonts w:cs="Arial"/>
                <w:b w:val="0"/>
                <w:color w:val="000000"/>
                <w:szCs w:val="20"/>
              </w:rPr>
              <w:noBreakHyphen/>
              <w:t>2093)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160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181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13%</w:t>
            </w:r>
          </w:p>
        </w:tc>
        <w:tc>
          <w:tcPr>
            <w:tcW w:w="1365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96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9795E">
              <w:rPr>
                <w:rFonts w:cs="Arial"/>
              </w:rPr>
              <w:t>19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95E">
              <w:t>14%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795E">
              <w:t>Yes</w:t>
            </w:r>
          </w:p>
        </w:tc>
      </w:tr>
      <w:tr w:rsidR="0059795E" w:rsidRPr="00860727" w:rsidTr="0059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vAlign w:val="center"/>
            <w:hideMark/>
          </w:tcPr>
          <w:p w:rsidR="0059795E" w:rsidRPr="0059795E" w:rsidRDefault="0059795E" w:rsidP="0059795E">
            <w:r w:rsidRPr="0059795E">
              <w:t>TOTAL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9795E">
              <w:rPr>
                <w:rFonts w:cs="Arial"/>
                <w:b/>
              </w:rPr>
              <w:t>18,982</w:t>
            </w:r>
          </w:p>
        </w:tc>
        <w:tc>
          <w:tcPr>
            <w:tcW w:w="1365" w:type="dxa"/>
            <w:noWrap/>
            <w:vAlign w:val="center"/>
            <w:hideMark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9795E">
              <w:rPr>
                <w:rFonts w:cs="Arial"/>
                <w:b/>
              </w:rPr>
              <w:t>20,661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9795E">
              <w:rPr>
                <w:rFonts w:cs="Arial"/>
                <w:b/>
              </w:rPr>
              <w:t>9%</w:t>
            </w:r>
          </w:p>
        </w:tc>
        <w:tc>
          <w:tcPr>
            <w:tcW w:w="1365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9795E">
              <w:rPr>
                <w:rFonts w:cs="Arial"/>
                <w:b/>
              </w:rPr>
              <w:t>10,312</w:t>
            </w:r>
          </w:p>
        </w:tc>
        <w:tc>
          <w:tcPr>
            <w:tcW w:w="1366" w:type="dxa"/>
            <w:noWrap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9795E">
              <w:rPr>
                <w:rFonts w:cs="Arial"/>
                <w:b/>
              </w:rPr>
              <w:t>2,062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795E">
              <w:rPr>
                <w:b/>
              </w:rPr>
              <w:t>21%</w:t>
            </w:r>
          </w:p>
        </w:tc>
        <w:tc>
          <w:tcPr>
            <w:tcW w:w="1365" w:type="dxa"/>
            <w:vAlign w:val="center"/>
          </w:tcPr>
          <w:p w:rsidR="0059795E" w:rsidRPr="0059795E" w:rsidRDefault="0059795E" w:rsidP="0059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D0314" w:rsidRDefault="003D0314" w:rsidP="003D0314">
      <w:pPr>
        <w:spacing w:after="0" w:line="240" w:lineRule="auto"/>
      </w:pPr>
      <w:r>
        <w:t>Source: EMSI 17.3</w:t>
      </w:r>
      <w:r w:rsidR="005C4289">
        <w:t>, COE</w:t>
      </w:r>
    </w:p>
    <w:p w:rsidR="00CD720F" w:rsidRDefault="003D0314" w:rsidP="003D0314">
      <w:pPr>
        <w:spacing w:after="0" w:line="240" w:lineRule="auto"/>
      </w:pPr>
      <w:r>
        <w:t>*Middle skill definition is found in Appendix A</w:t>
      </w:r>
    </w:p>
    <w:p w:rsidR="009C12A6" w:rsidRPr="009C12A6" w:rsidRDefault="009C12A6" w:rsidP="009C12A6"/>
    <w:p w:rsidR="002D6B69" w:rsidRDefault="002D6B69" w:rsidP="009C12A6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 xml:space="preserve">Wages </w:t>
      </w:r>
    </w:p>
    <w:p w:rsidR="009C12A6" w:rsidRPr="009C12A6" w:rsidRDefault="009C12A6" w:rsidP="00707991">
      <w:pPr>
        <w:spacing w:line="360" w:lineRule="auto"/>
      </w:pPr>
      <w:r>
        <w:t xml:space="preserve">Wages for </w:t>
      </w:r>
      <w:r w:rsidR="00DB440D">
        <w:t>automotive</w:t>
      </w:r>
      <w:r w:rsidR="00E16C92">
        <w:t xml:space="preserve"> technology</w:t>
      </w:r>
      <w:r>
        <w:t xml:space="preserve"> occupations are sorted by highest average hourly earnings. </w:t>
      </w:r>
      <w:r w:rsidR="00DB440D">
        <w:t>First-line supervisors of mechanics, installers, and repairers</w:t>
      </w:r>
      <w:r>
        <w:t xml:space="preserve"> have the highest 10</w:t>
      </w:r>
      <w:r w:rsidRPr="009C12A6">
        <w:rPr>
          <w:vertAlign w:val="superscript"/>
        </w:rPr>
        <w:t>th</w:t>
      </w:r>
      <w:r>
        <w:t xml:space="preserve"> percentile “entry-level” hourly wage and a</w:t>
      </w:r>
      <w:r w:rsidR="00DB440D">
        <w:t>verage hourly earnings.</w:t>
      </w:r>
      <w:r>
        <w:t xml:space="preserve"> </w:t>
      </w:r>
      <w:r w:rsidR="006C3B8E">
        <w:t>The living wage for a single adult living in the Inland Empire/ Desert Region is $12.10 per hour according to the MIT Living Wage Calculator.</w:t>
      </w:r>
      <w:r w:rsidR="00DB440D">
        <w:t xml:space="preserve"> All occupations meet this standard at the entry-level wage except automotive service technicians and mechanics. However, this occupation rises above the living wage at the 25</w:t>
      </w:r>
      <w:r w:rsidR="00DB440D" w:rsidRPr="00DB440D">
        <w:rPr>
          <w:vertAlign w:val="superscript"/>
        </w:rPr>
        <w:t>th</w:t>
      </w:r>
      <w:r w:rsidR="00DB440D">
        <w:t xml:space="preserve"> percentile wage ($12.24 per hour). </w:t>
      </w:r>
    </w:p>
    <w:tbl>
      <w:tblPr>
        <w:tblStyle w:val="MediumShading1-Accent5"/>
        <w:tblpPr w:leftFromText="180" w:rightFromText="180" w:vertAnchor="text" w:horzAnchor="margin" w:tblpXSpec="center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8444"/>
        <w:gridCol w:w="2534"/>
        <w:gridCol w:w="2198"/>
      </w:tblGrid>
      <w:tr w:rsidR="009C12A6" w:rsidRPr="005E1361" w:rsidTr="00497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C12A6" w:rsidRPr="005E1361" w:rsidRDefault="00DB440D" w:rsidP="009C12A6">
            <w:pPr>
              <w:rPr>
                <w:rFonts w:eastAsia="Times New Roman" w:cs="Arial"/>
                <w:color w:val="FFFFFF"/>
              </w:rPr>
            </w:pPr>
            <w:r>
              <w:rPr>
                <w:rFonts w:cs="Arial"/>
                <w:color w:val="FFFFFF"/>
                <w:szCs w:val="20"/>
              </w:rPr>
              <w:t>Automotive</w:t>
            </w:r>
            <w:r w:rsidR="00980097">
              <w:rPr>
                <w:rFonts w:cs="Arial"/>
                <w:color w:val="FFFFFF"/>
                <w:szCs w:val="20"/>
              </w:rPr>
              <w:t xml:space="preserve"> Technology </w:t>
            </w:r>
            <w:r w:rsidR="009C12A6" w:rsidRPr="005E1361">
              <w:rPr>
                <w:rFonts w:eastAsia="Times New Roman" w:cs="Arial"/>
                <w:color w:val="FFFFFF"/>
              </w:rPr>
              <w:t>Occupational Group (SOC Code)</w:t>
            </w:r>
          </w:p>
        </w:tc>
        <w:tc>
          <w:tcPr>
            <w:tcW w:w="0" w:type="auto"/>
            <w:vAlign w:val="center"/>
            <w:hideMark/>
          </w:tcPr>
          <w:p w:rsidR="009C12A6" w:rsidRPr="005E1361" w:rsidRDefault="009C12A6" w:rsidP="009C1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</w:rPr>
            </w:pPr>
            <w:r w:rsidRPr="005E1361">
              <w:rPr>
                <w:rFonts w:eastAsia="Times New Roman" w:cs="Arial"/>
                <w:color w:val="FFFFFF"/>
              </w:rPr>
              <w:t>Hourly Earnings</w:t>
            </w:r>
            <w:r w:rsidR="00707991">
              <w:rPr>
                <w:rFonts w:eastAsia="Times New Roman" w:cs="Arial"/>
                <w:color w:val="FFFFFF"/>
              </w:rPr>
              <w:t xml:space="preserve"> Range*</w:t>
            </w:r>
          </w:p>
        </w:tc>
        <w:tc>
          <w:tcPr>
            <w:tcW w:w="0" w:type="auto"/>
            <w:vAlign w:val="center"/>
            <w:hideMark/>
          </w:tcPr>
          <w:p w:rsidR="009C12A6" w:rsidRPr="005E1361" w:rsidRDefault="009C12A6" w:rsidP="009C1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</w:rPr>
            </w:pPr>
            <w:r w:rsidRPr="005E1361">
              <w:rPr>
                <w:rFonts w:eastAsia="Times New Roman" w:cs="Arial"/>
                <w:color w:val="FFFFFF"/>
              </w:rPr>
              <w:t>Avg. Hourly Earnings</w:t>
            </w:r>
          </w:p>
        </w:tc>
      </w:tr>
      <w:tr w:rsidR="00DB440D" w:rsidRPr="005E1361" w:rsidTr="00DB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B440D" w:rsidRPr="00DB440D" w:rsidRDefault="00DB440D" w:rsidP="00DB440D">
            <w:pPr>
              <w:rPr>
                <w:rFonts w:cs="Arial"/>
                <w:b w:val="0"/>
                <w:color w:val="000000"/>
              </w:rPr>
            </w:pPr>
            <w:r w:rsidRPr="00DB440D">
              <w:rPr>
                <w:rFonts w:cs="Arial"/>
                <w:b w:val="0"/>
                <w:color w:val="000000"/>
              </w:rPr>
              <w:t>First-Line Supervisors of Mechanics, Installers, and Repairers</w:t>
            </w:r>
            <w:r>
              <w:rPr>
                <w:rFonts w:cs="Arial"/>
                <w:b w:val="0"/>
                <w:color w:val="000000"/>
              </w:rPr>
              <w:t xml:space="preserve"> (49</w:t>
            </w:r>
            <w:r>
              <w:rPr>
                <w:rFonts w:cs="Arial"/>
                <w:b w:val="0"/>
                <w:color w:val="000000"/>
              </w:rPr>
              <w:noBreakHyphen/>
              <w:t>1011)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E16C92" w:rsidRDefault="00DB440D" w:rsidP="00DB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$19.16 to $51.09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DB440D" w:rsidRDefault="00DB440D" w:rsidP="00DB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B440D">
              <w:rPr>
                <w:rFonts w:cs="Arial"/>
              </w:rPr>
              <w:t>$34.17</w:t>
            </w:r>
          </w:p>
        </w:tc>
      </w:tr>
      <w:tr w:rsidR="00DB440D" w:rsidRPr="005E1361" w:rsidTr="00DB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DB440D" w:rsidRPr="00DB440D" w:rsidRDefault="00DB440D" w:rsidP="00DB440D">
            <w:pPr>
              <w:rPr>
                <w:rFonts w:cs="Arial"/>
                <w:b w:val="0"/>
                <w:color w:val="000000"/>
              </w:rPr>
            </w:pPr>
            <w:r w:rsidRPr="00DB440D">
              <w:rPr>
                <w:rFonts w:cs="Arial"/>
                <w:b w:val="0"/>
                <w:color w:val="000000"/>
              </w:rPr>
              <w:t>Electrical and Electronics Installers and Repairers, Transportation Equipment</w:t>
            </w:r>
            <w:r>
              <w:rPr>
                <w:rFonts w:cs="Arial"/>
                <w:b w:val="0"/>
                <w:color w:val="000000"/>
              </w:rPr>
              <w:t xml:space="preserve"> (49</w:t>
            </w:r>
            <w:r>
              <w:rPr>
                <w:rFonts w:cs="Arial"/>
                <w:b w:val="0"/>
                <w:color w:val="000000"/>
              </w:rPr>
              <w:noBreakHyphen/>
              <w:t>2093)</w:t>
            </w:r>
          </w:p>
        </w:tc>
        <w:tc>
          <w:tcPr>
            <w:tcW w:w="0" w:type="auto"/>
            <w:noWrap/>
            <w:vAlign w:val="center"/>
          </w:tcPr>
          <w:p w:rsidR="00DB440D" w:rsidRPr="00E16C92" w:rsidRDefault="00DB440D" w:rsidP="00DB4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$12.18 to $34.47</w:t>
            </w:r>
          </w:p>
        </w:tc>
        <w:tc>
          <w:tcPr>
            <w:tcW w:w="0" w:type="auto"/>
            <w:noWrap/>
            <w:vAlign w:val="center"/>
          </w:tcPr>
          <w:p w:rsidR="00DB440D" w:rsidRPr="00DB440D" w:rsidRDefault="00DB440D" w:rsidP="00DB4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B440D">
              <w:rPr>
                <w:rFonts w:cs="Arial"/>
              </w:rPr>
              <w:t>$25.36</w:t>
            </w:r>
          </w:p>
        </w:tc>
      </w:tr>
      <w:tr w:rsidR="00DB440D" w:rsidRPr="005E1361" w:rsidTr="00DB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B440D" w:rsidRPr="00DB440D" w:rsidRDefault="00DB440D" w:rsidP="00DB440D">
            <w:pPr>
              <w:rPr>
                <w:rFonts w:cs="Arial"/>
                <w:b w:val="0"/>
                <w:color w:val="000000"/>
              </w:rPr>
            </w:pPr>
            <w:r w:rsidRPr="00DB440D">
              <w:rPr>
                <w:rFonts w:cs="Arial"/>
                <w:b w:val="0"/>
                <w:color w:val="000000"/>
              </w:rPr>
              <w:t>Bus and Truck Mechanics and Diesel Engine Specialists</w:t>
            </w:r>
            <w:r>
              <w:rPr>
                <w:rFonts w:cs="Arial"/>
                <w:b w:val="0"/>
                <w:color w:val="000000"/>
              </w:rPr>
              <w:t xml:space="preserve"> (49</w:t>
            </w:r>
            <w:r>
              <w:rPr>
                <w:rFonts w:cs="Arial"/>
                <w:b w:val="0"/>
                <w:color w:val="000000"/>
              </w:rPr>
              <w:noBreakHyphen/>
              <w:t>3031)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E16C92" w:rsidRDefault="00DB440D" w:rsidP="00DB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$13.25 to $33.72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DB440D" w:rsidRDefault="00DB440D" w:rsidP="00DB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B440D">
              <w:rPr>
                <w:rFonts w:cs="Arial"/>
              </w:rPr>
              <w:t>$22.80</w:t>
            </w:r>
          </w:p>
        </w:tc>
      </w:tr>
      <w:tr w:rsidR="00DB440D" w:rsidRPr="005E1361" w:rsidTr="00DB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B440D" w:rsidRPr="00DB440D" w:rsidRDefault="00A719CA" w:rsidP="00DB440D">
            <w:p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Automotive Service Technicians </w:t>
            </w:r>
            <w:r w:rsidR="00DB440D" w:rsidRPr="00DB440D">
              <w:rPr>
                <w:rFonts w:cs="Arial"/>
                <w:b w:val="0"/>
                <w:color w:val="000000"/>
              </w:rPr>
              <w:t>and Mechanics</w:t>
            </w:r>
            <w:r w:rsidR="00DB440D">
              <w:rPr>
                <w:rFonts w:cs="Arial"/>
                <w:b w:val="0"/>
                <w:color w:val="000000"/>
              </w:rPr>
              <w:t xml:space="preserve"> (49</w:t>
            </w:r>
            <w:r w:rsidR="00DB440D">
              <w:rPr>
                <w:rFonts w:cs="Arial"/>
                <w:b w:val="0"/>
                <w:color w:val="000000"/>
              </w:rPr>
              <w:noBreakHyphen/>
              <w:t>3023)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E16C92" w:rsidRDefault="00DB440D" w:rsidP="00DB4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$11.03</w:t>
            </w:r>
            <w:r w:rsidRPr="00E16C92">
              <w:rPr>
                <w:rFonts w:cs="Arial"/>
              </w:rPr>
              <w:t xml:space="preserve"> to $</w:t>
            </w:r>
            <w:r>
              <w:rPr>
                <w:rFonts w:cs="Arial"/>
              </w:rPr>
              <w:t>32.90</w:t>
            </w:r>
          </w:p>
        </w:tc>
        <w:tc>
          <w:tcPr>
            <w:tcW w:w="0" w:type="auto"/>
            <w:noWrap/>
            <w:vAlign w:val="center"/>
            <w:hideMark/>
          </w:tcPr>
          <w:p w:rsidR="00DB440D" w:rsidRPr="00DB440D" w:rsidRDefault="00DB440D" w:rsidP="00DB44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B440D">
              <w:rPr>
                <w:rFonts w:cs="Arial"/>
              </w:rPr>
              <w:t>$19.39</w:t>
            </w:r>
          </w:p>
        </w:tc>
      </w:tr>
    </w:tbl>
    <w:p w:rsidR="00707991" w:rsidRDefault="005C4289" w:rsidP="005C4289">
      <w:pPr>
        <w:spacing w:after="0" w:line="240" w:lineRule="auto"/>
      </w:pPr>
      <w:r>
        <w:t>Source: EMSI 17.3</w:t>
      </w:r>
    </w:p>
    <w:p w:rsidR="005C4289" w:rsidRDefault="00707991" w:rsidP="005C4289">
      <w:pPr>
        <w:spacing w:after="0" w:line="240" w:lineRule="auto"/>
      </w:pPr>
      <w:r>
        <w:t>*</w:t>
      </w:r>
      <w:r w:rsidRPr="00707991">
        <w:t>10</w:t>
      </w:r>
      <w:r>
        <w:t>th</w:t>
      </w:r>
      <w:r w:rsidRPr="00707991">
        <w:t xml:space="preserve"> to 90</w:t>
      </w:r>
      <w:r w:rsidRPr="00707991">
        <w:rPr>
          <w:vertAlign w:val="superscript"/>
        </w:rPr>
        <w:t>th</w:t>
      </w:r>
      <w:r>
        <w:t xml:space="preserve"> Percentile</w:t>
      </w:r>
    </w:p>
    <w:p w:rsidR="002C5E85" w:rsidRDefault="002C5E85">
      <w:pPr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>
        <w:br w:type="page"/>
      </w:r>
    </w:p>
    <w:p w:rsidR="00803004" w:rsidRDefault="00497104" w:rsidP="00707991">
      <w:pPr>
        <w:pStyle w:val="Heading1"/>
      </w:pPr>
      <w:r>
        <w:lastRenderedPageBreak/>
        <w:t>Completions</w:t>
      </w:r>
    </w:p>
    <w:tbl>
      <w:tblPr>
        <w:tblStyle w:val="LightGrid-Accent5"/>
        <w:tblW w:w="12960" w:type="dxa"/>
        <w:tblLook w:val="04A0" w:firstRow="1" w:lastRow="0" w:firstColumn="1" w:lastColumn="0" w:noHBand="0" w:noVBand="1"/>
      </w:tblPr>
      <w:tblGrid>
        <w:gridCol w:w="3601"/>
        <w:gridCol w:w="1800"/>
        <w:gridCol w:w="1239"/>
        <w:gridCol w:w="1239"/>
        <w:gridCol w:w="1240"/>
        <w:gridCol w:w="1920"/>
        <w:gridCol w:w="1921"/>
      </w:tblGrid>
      <w:tr w:rsidR="00493730" w:rsidRPr="00D06F26" w:rsidTr="00A11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vMerge w:val="restart"/>
            <w:noWrap/>
            <w:vAlign w:val="center"/>
            <w:hideMark/>
          </w:tcPr>
          <w:p w:rsidR="00493730" w:rsidRPr="00707991" w:rsidRDefault="00493730" w:rsidP="00A719CA">
            <w:pPr>
              <w:rPr>
                <w:rFonts w:eastAsia="Times New Roman" w:cs="Calibri"/>
                <w:b w:val="0"/>
                <w:bCs w:val="0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094800</w:t>
            </w:r>
            <w:r w:rsidRPr="00707991">
              <w:rPr>
                <w:rFonts w:eastAsia="Times New Roman" w:cs="Calibri"/>
                <w:color w:val="000000"/>
              </w:rPr>
              <w:t xml:space="preserve"> - </w:t>
            </w:r>
            <w:r>
              <w:rPr>
                <w:rFonts w:eastAsia="Times New Roman" w:cs="Calibri"/>
                <w:color w:val="000000"/>
              </w:rPr>
              <w:t>Automotive</w:t>
            </w:r>
            <w:r w:rsidRPr="00707991">
              <w:rPr>
                <w:rFonts w:eastAsia="Times New Roman" w:cs="Calibri"/>
                <w:color w:val="000000"/>
              </w:rPr>
              <w:t xml:space="preserve"> Technology</w:t>
            </w:r>
          </w:p>
        </w:tc>
        <w:tc>
          <w:tcPr>
            <w:tcW w:w="3718" w:type="dxa"/>
            <w:gridSpan w:val="3"/>
            <w:vAlign w:val="center"/>
          </w:tcPr>
          <w:p w:rsidR="00493730" w:rsidRPr="00A2502B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</w:rPr>
            </w:pPr>
            <w:r w:rsidRPr="00A2502B">
              <w:rPr>
                <w:rFonts w:eastAsia="Times New Roman" w:cs="Times New Roman"/>
                <w:bCs w:val="0"/>
                <w:color w:val="000000"/>
              </w:rPr>
              <w:t>Course Enrollments</w:t>
            </w:r>
          </w:p>
        </w:tc>
        <w:tc>
          <w:tcPr>
            <w:tcW w:w="1920" w:type="dxa"/>
            <w:vMerge w:val="restart"/>
            <w:vAlign w:val="center"/>
          </w:tcPr>
          <w:p w:rsidR="00493730" w:rsidRPr="00707991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707991">
              <w:rPr>
                <w:rFonts w:eastAsia="Times New Roman" w:cs="Times New Roman"/>
                <w:color w:val="000000"/>
              </w:rPr>
              <w:t xml:space="preserve">Last 3 </w:t>
            </w:r>
            <w:proofErr w:type="spellStart"/>
            <w:r w:rsidRPr="00707991">
              <w:rPr>
                <w:rFonts w:eastAsia="Times New Roman" w:cs="Times New Roman"/>
                <w:color w:val="000000"/>
              </w:rPr>
              <w:t>Yr</w:t>
            </w:r>
            <w:proofErr w:type="spellEnd"/>
            <w:r w:rsidRPr="00707991">
              <w:rPr>
                <w:rFonts w:eastAsia="Times New Roman" w:cs="Times New Roman"/>
                <w:color w:val="000000"/>
              </w:rPr>
              <w:t xml:space="preserve"> Average </w:t>
            </w:r>
            <w:r>
              <w:rPr>
                <w:rFonts w:eastAsia="Times New Roman" w:cs="Times New Roman"/>
                <w:color w:val="000000"/>
              </w:rPr>
              <w:t xml:space="preserve">CC </w:t>
            </w:r>
            <w:r w:rsidRPr="00707991">
              <w:rPr>
                <w:rFonts w:eastAsia="Times New Roman" w:cs="Times New Roman"/>
                <w:color w:val="000000"/>
              </w:rPr>
              <w:t>Completions (2013-16)</w:t>
            </w:r>
          </w:p>
        </w:tc>
        <w:tc>
          <w:tcPr>
            <w:tcW w:w="1921" w:type="dxa"/>
            <w:vMerge w:val="restart"/>
            <w:vAlign w:val="center"/>
          </w:tcPr>
          <w:p w:rsidR="00493730" w:rsidRPr="00707991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Last 3 </w:t>
            </w:r>
            <w:proofErr w:type="spellStart"/>
            <w:r>
              <w:rPr>
                <w:rFonts w:eastAsia="Times New Roman" w:cs="Times New Roman"/>
                <w:color w:val="000000"/>
              </w:rPr>
              <w:t>Yr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Average Other Completions (2013-16)</w:t>
            </w:r>
          </w:p>
        </w:tc>
      </w:tr>
      <w:tr w:rsidR="00535A46" w:rsidRPr="00D06F26" w:rsidTr="00A11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vMerge/>
            <w:noWrap/>
            <w:vAlign w:val="center"/>
          </w:tcPr>
          <w:p w:rsidR="00493730" w:rsidRDefault="00493730" w:rsidP="00A719C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493730" w:rsidRPr="00A719CA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A719CA">
              <w:rPr>
                <w:rFonts w:eastAsia="Times New Roman" w:cs="Times New Roman"/>
                <w:color w:val="000000"/>
              </w:rPr>
              <w:t>2013-14</w:t>
            </w:r>
          </w:p>
        </w:tc>
        <w:tc>
          <w:tcPr>
            <w:tcW w:w="1239" w:type="dxa"/>
            <w:vAlign w:val="center"/>
          </w:tcPr>
          <w:p w:rsidR="00493730" w:rsidRPr="00A719CA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A719CA">
              <w:rPr>
                <w:rFonts w:eastAsia="Times New Roman" w:cs="Times New Roman"/>
                <w:color w:val="000000"/>
              </w:rPr>
              <w:t>2014-15</w:t>
            </w:r>
          </w:p>
        </w:tc>
        <w:tc>
          <w:tcPr>
            <w:tcW w:w="1240" w:type="dxa"/>
            <w:vAlign w:val="center"/>
          </w:tcPr>
          <w:p w:rsidR="00493730" w:rsidRPr="00A719CA" w:rsidRDefault="00493730" w:rsidP="00A71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A719CA">
              <w:rPr>
                <w:rFonts w:eastAsia="Times New Roman" w:cs="Times New Roman"/>
                <w:color w:val="000000"/>
              </w:rPr>
              <w:t>2015-16</w:t>
            </w:r>
          </w:p>
        </w:tc>
        <w:tc>
          <w:tcPr>
            <w:tcW w:w="1920" w:type="dxa"/>
            <w:vMerge/>
          </w:tcPr>
          <w:p w:rsidR="00493730" w:rsidRPr="00707991" w:rsidRDefault="00493730" w:rsidP="0025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21" w:type="dxa"/>
            <w:vMerge/>
          </w:tcPr>
          <w:p w:rsidR="00493730" w:rsidRPr="00707991" w:rsidRDefault="00493730" w:rsidP="00250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 xml:space="preserve">Universal Technical Institute of California </w:t>
            </w:r>
            <w:proofErr w:type="spellStart"/>
            <w:r w:rsidRPr="00A719CA">
              <w:rPr>
                <w:rFonts w:eastAsia="Times New Roman" w:cs="Calibri"/>
                <w:color w:val="000000"/>
              </w:rPr>
              <w:t>Inc</w:t>
            </w:r>
            <w:proofErr w:type="spellEnd"/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Award 2 &lt; 4 years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1,014</w:t>
            </w: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Award 1 &lt; 2 years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 xml:space="preserve">Universal Technical Institute of California </w:t>
            </w:r>
            <w:proofErr w:type="spellStart"/>
            <w:r w:rsidRPr="00A719CA">
              <w:rPr>
                <w:rFonts w:eastAsia="Times New Roman" w:cs="Calibri"/>
                <w:color w:val="000000"/>
              </w:rPr>
              <w:t>Inc</w:t>
            </w:r>
            <w:proofErr w:type="spellEnd"/>
            <w:r w:rsidRPr="00A719CA">
              <w:rPr>
                <w:rFonts w:eastAsia="Times New Roman" w:cs="Calibri"/>
                <w:color w:val="000000"/>
              </w:rPr>
              <w:t xml:space="preserve"> Total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1,017</w:t>
            </w: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auto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Barstow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auto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auto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18 to &lt; 30 semester units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auto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Barstow Total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215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296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356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Chaffey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30 to &lt; 60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18 to &lt; 3</w:t>
            </w:r>
            <w:r w:rsidRPr="00707991">
              <w:rPr>
                <w:rFonts w:eastAsia="Times New Roman" w:cs="Calibri"/>
                <w:b w:val="0"/>
                <w:color w:val="000000"/>
              </w:rPr>
              <w:t>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Chaffey Total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762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796</w:t>
            </w: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710</w:t>
            </w: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63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Copper Mountain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493730" w:rsidRPr="0054694D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54694D">
              <w:rPr>
                <w:rFonts w:eastAsia="Times New Roman" w:cs="Calibri"/>
                <w:color w:val="000000"/>
              </w:rPr>
              <w:t>Copper Mountain Total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108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103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102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54694D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College of the </w:t>
            </w:r>
            <w:r w:rsidR="00493730" w:rsidRPr="00A719CA">
              <w:rPr>
                <w:rFonts w:eastAsia="Times New Roman" w:cs="Calibri"/>
                <w:color w:val="000000"/>
              </w:rPr>
              <w:t>Desert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707991" w:rsidRDefault="00493730" w:rsidP="00D711C3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18 to &lt; 3</w:t>
            </w:r>
            <w:r w:rsidRPr="00707991">
              <w:rPr>
                <w:rFonts w:eastAsia="Times New Roman" w:cs="Calibri"/>
                <w:b w:val="0"/>
                <w:color w:val="000000"/>
              </w:rPr>
              <w:t>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  <w:hideMark/>
          </w:tcPr>
          <w:p w:rsidR="00493730" w:rsidRPr="00A719CA" w:rsidRDefault="0054694D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College of the </w:t>
            </w:r>
            <w:r w:rsidR="00493730" w:rsidRPr="00A719CA">
              <w:rPr>
                <w:rFonts w:eastAsia="Times New Roman" w:cs="Calibri"/>
                <w:color w:val="000000"/>
              </w:rPr>
              <w:t>Desert Total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727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792</w:t>
            </w: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793</w:t>
            </w: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707991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A719CA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A719CA" w:rsidRPr="00A719CA" w:rsidRDefault="00A719CA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A719CA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A719CA" w:rsidRPr="00A719CA" w:rsidRDefault="00A719CA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A719CA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A719CA" w:rsidRPr="00A719CA" w:rsidRDefault="00A719CA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A719CA" w:rsidRPr="00535A46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A719CA" w:rsidRDefault="00A719CA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lastRenderedPageBreak/>
              <w:t>Mt. San Jacinto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6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30 to &lt; 60 semester units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8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Mt. San Jacinto Total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A719CA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A719CA">
              <w:rPr>
                <w:rFonts w:eastAsia="Times New Roman" w:cs="Calibri"/>
                <w:b/>
                <w:bCs/>
                <w:color w:val="000000"/>
              </w:rPr>
              <w:t>330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A719CA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A719CA">
              <w:rPr>
                <w:rFonts w:eastAsia="Times New Roman" w:cs="Calibri"/>
                <w:b/>
                <w:bCs/>
                <w:color w:val="000000"/>
              </w:rPr>
              <w:t>391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A719CA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A719CA">
              <w:rPr>
                <w:rFonts w:eastAsia="Times New Roman" w:cs="Calibri"/>
                <w:b/>
                <w:bCs/>
                <w:color w:val="000000"/>
              </w:rPr>
              <w:t>384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A719CA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A719CA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A719CA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A719CA" w:rsidRDefault="0081345A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S</w:t>
            </w:r>
            <w:r w:rsidR="00493730" w:rsidRPr="00A719CA">
              <w:rPr>
                <w:rFonts w:eastAsia="Times New Roman" w:cs="Calibri"/>
                <w:color w:val="000000"/>
              </w:rPr>
              <w:t>an Bernardino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30 to &lt; 60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5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18 to &lt; 3</w:t>
            </w:r>
            <w:r w:rsidRPr="00707991">
              <w:rPr>
                <w:rFonts w:eastAsia="Times New Roman" w:cs="Calibri"/>
                <w:b w:val="0"/>
                <w:color w:val="000000"/>
              </w:rPr>
              <w:t>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6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6 to &lt; 18</w:t>
            </w:r>
            <w:r w:rsidRPr="00707991">
              <w:rPr>
                <w:rFonts w:eastAsia="Times New Roman" w:cs="Calibri"/>
                <w:b w:val="0"/>
                <w:color w:val="000000"/>
              </w:rPr>
              <w:t xml:space="preserve">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250CB0">
              <w:rPr>
                <w:rFonts w:eastAsia="Times New Roman" w:cs="Calibri"/>
                <w:bCs/>
                <w:color w:val="000000"/>
              </w:rPr>
              <w:t>7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250CB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San Bernardino Total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620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583</w:t>
            </w: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511</w:t>
            </w: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Palo Verde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1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 xml:space="preserve">Certificate 18 to &lt; </w:t>
            </w:r>
            <w:r w:rsidRPr="00707991">
              <w:rPr>
                <w:rFonts w:eastAsia="Times New Roman" w:cs="Calibri"/>
                <w:b w:val="0"/>
                <w:color w:val="000000"/>
              </w:rPr>
              <w:t>0 semester units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8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6 to &lt; 18</w:t>
            </w:r>
            <w:r w:rsidRPr="00707991">
              <w:rPr>
                <w:rFonts w:eastAsia="Times New Roman" w:cs="Calibri"/>
                <w:b w:val="0"/>
                <w:color w:val="000000"/>
              </w:rPr>
              <w:t xml:space="preserve"> semester units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Palo Verde Total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250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301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379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Riverside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14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18 to &lt; 30 semester units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24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E2F2C7" w:themeFill="accent5" w:themeFillTint="33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Riverside Total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940</w:t>
            </w:r>
          </w:p>
        </w:tc>
        <w:tc>
          <w:tcPr>
            <w:tcW w:w="1239" w:type="dxa"/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982</w:t>
            </w:r>
          </w:p>
        </w:tc>
        <w:tc>
          <w:tcPr>
            <w:tcW w:w="1240" w:type="dxa"/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875</w:t>
            </w:r>
          </w:p>
        </w:tc>
        <w:tc>
          <w:tcPr>
            <w:tcW w:w="1920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921" w:type="dxa"/>
            <w:shd w:val="clear" w:color="auto" w:fill="E2F2C7" w:themeFill="accent5" w:themeFillTint="33"/>
            <w:vAlign w:val="center"/>
          </w:tcPr>
          <w:p w:rsid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77992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F77992" w:rsidRPr="00A719CA" w:rsidRDefault="00F77992" w:rsidP="00F77992">
            <w:pPr>
              <w:ind w:firstLineChars="100" w:firstLine="241"/>
              <w:rPr>
                <w:rFonts w:eastAsia="Times New Roman" w:cs="Calibri"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F77992" w:rsidRPr="00535A46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77992" w:rsidRDefault="00F77992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lastRenderedPageBreak/>
              <w:t>Victor Valley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Associate Degree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8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b w:val="0"/>
                <w:color w:val="000000"/>
              </w:rPr>
            </w:pPr>
            <w:r w:rsidRPr="00707991">
              <w:rPr>
                <w:rFonts w:eastAsia="Times New Roman" w:cs="Calibri"/>
                <w:b w:val="0"/>
                <w:color w:val="000000"/>
              </w:rPr>
              <w:t>Certificate 30 to &lt; 60 semester units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707991" w:rsidRDefault="00493730" w:rsidP="00F77992">
            <w:pPr>
              <w:ind w:firstLineChars="200" w:firstLine="48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 w:val="0"/>
                <w:color w:val="000000"/>
              </w:rPr>
              <w:t>Certificate 18 to &lt; 3</w:t>
            </w:r>
            <w:r w:rsidRPr="00707991">
              <w:rPr>
                <w:rFonts w:eastAsia="Times New Roman" w:cs="Calibri"/>
                <w:b w:val="0"/>
                <w:color w:val="000000"/>
              </w:rPr>
              <w:t>0 semester units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  <w:r w:rsidRPr="00493730">
              <w:rPr>
                <w:rFonts w:eastAsia="Times New Roman" w:cs="Calibri"/>
                <w:bCs/>
                <w:color w:val="000000"/>
              </w:rPr>
              <w:t>16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Cs/>
                <w:color w:val="000000"/>
              </w:rPr>
            </w:pPr>
          </w:p>
        </w:tc>
      </w:tr>
      <w:tr w:rsidR="00535A46" w:rsidRPr="00D06F26" w:rsidTr="00F7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shd w:val="clear" w:color="auto" w:fill="FFFFFF" w:themeFill="background1"/>
            <w:noWrap/>
            <w:vAlign w:val="center"/>
          </w:tcPr>
          <w:p w:rsidR="00493730" w:rsidRPr="00A719CA" w:rsidRDefault="00493730" w:rsidP="00F77992">
            <w:pPr>
              <w:ind w:firstLineChars="100" w:firstLine="241"/>
              <w:rPr>
                <w:rFonts w:eastAsia="Times New Roman" w:cs="Calibri"/>
                <w:bCs w:val="0"/>
                <w:color w:val="000000"/>
              </w:rPr>
            </w:pPr>
            <w:r w:rsidRPr="00A719CA">
              <w:rPr>
                <w:rFonts w:eastAsia="Times New Roman" w:cs="Calibri"/>
                <w:color w:val="000000"/>
              </w:rPr>
              <w:t>Victor Valley Total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1,035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493730" w:rsidRPr="00535A46" w:rsidRDefault="00535A46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1,287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93730" w:rsidRPr="00535A46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</w:rPr>
              <w:t>1,394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493730" w:rsidRDefault="00493730" w:rsidP="00A11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535A46" w:rsidRPr="00D06F26" w:rsidTr="00A11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1" w:type="dxa"/>
            <w:gridSpan w:val="2"/>
            <w:tcBorders>
              <w:bottom w:val="single" w:sz="4" w:space="0" w:color="auto"/>
            </w:tcBorders>
            <w:shd w:val="clear" w:color="auto" w:fill="E2F2C7" w:themeFill="accent5" w:themeFillTint="33"/>
            <w:noWrap/>
            <w:hideMark/>
          </w:tcPr>
          <w:p w:rsidR="00493730" w:rsidRPr="00493730" w:rsidRDefault="00493730" w:rsidP="00250CB0">
            <w:pPr>
              <w:jc w:val="center"/>
              <w:rPr>
                <w:rFonts w:eastAsia="Times New Roman" w:cs="Calibri"/>
                <w:b w:val="0"/>
                <w:bCs w:val="0"/>
                <w:color w:val="000000"/>
                <w:sz w:val="28"/>
                <w:szCs w:val="28"/>
              </w:rPr>
            </w:pPr>
            <w:r w:rsidRPr="00493730">
              <w:rPr>
                <w:rFonts w:eastAsia="Times New Roman" w:cs="Calibri"/>
                <w:color w:val="000000"/>
                <w:sz w:val="28"/>
                <w:szCs w:val="28"/>
              </w:rPr>
              <w:t>094800 - Automotive Technology Total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4,987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E2F2C7" w:themeFill="accent5" w:themeFillTint="33"/>
            <w:vAlign w:val="center"/>
          </w:tcPr>
          <w:p w:rsidR="00493730" w:rsidRPr="00535A46" w:rsidRDefault="00535A46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5,531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2F2C7" w:themeFill="accent5" w:themeFillTint="33"/>
            <w:vAlign w:val="center"/>
          </w:tcPr>
          <w:p w:rsidR="00493730" w:rsidRPr="00535A46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35A4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5,504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9373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E2F2C7" w:themeFill="accent5" w:themeFillTint="33"/>
            <w:vAlign w:val="center"/>
          </w:tcPr>
          <w:p w:rsidR="00493730" w:rsidRPr="00493730" w:rsidRDefault="00493730" w:rsidP="00A11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1,017</w:t>
            </w:r>
          </w:p>
        </w:tc>
      </w:tr>
      <w:tr w:rsidR="00D711C3" w:rsidRPr="00707991" w:rsidTr="005B4E3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59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1C3" w:rsidRPr="00707991" w:rsidRDefault="00D711C3" w:rsidP="005B4E35">
            <w:pPr>
              <w:jc w:val="center"/>
            </w:pPr>
            <w:r w:rsidRPr="00707991">
              <w:rPr>
                <w:b w:val="0"/>
                <w:bCs w:val="0"/>
              </w:rPr>
              <w:t xml:space="preserve">Source: </w:t>
            </w:r>
            <w:proofErr w:type="spellStart"/>
            <w:r w:rsidRPr="00707991">
              <w:rPr>
                <w:b w:val="0"/>
                <w:bCs w:val="0"/>
              </w:rPr>
              <w:t>Datamart</w:t>
            </w:r>
            <w:proofErr w:type="spellEnd"/>
            <w:r w:rsidRPr="00707991">
              <w:rPr>
                <w:b w:val="0"/>
                <w:bCs w:val="0"/>
              </w:rPr>
              <w:t xml:space="preserve">, </w:t>
            </w:r>
            <w:proofErr w:type="spellStart"/>
            <w:r w:rsidRPr="00707991">
              <w:rPr>
                <w:b w:val="0"/>
                <w:bCs w:val="0"/>
              </w:rPr>
              <w:t>Launchboard</w:t>
            </w:r>
            <w:proofErr w:type="spellEnd"/>
          </w:p>
        </w:tc>
      </w:tr>
    </w:tbl>
    <w:p w:rsidR="00535A46" w:rsidRDefault="00535A46" w:rsidP="00A2502B">
      <w:pPr>
        <w:rPr>
          <w:b/>
        </w:rPr>
      </w:pPr>
    </w:p>
    <w:p w:rsidR="0081345A" w:rsidRDefault="0081345A">
      <w:pPr>
        <w:rPr>
          <w:b/>
        </w:rPr>
      </w:pPr>
      <w:r>
        <w:rPr>
          <w:b/>
        </w:rPr>
        <w:br w:type="page"/>
      </w:r>
    </w:p>
    <w:p w:rsidR="00D811AE" w:rsidRDefault="00D811AE" w:rsidP="00A2502B">
      <w:pPr>
        <w:rPr>
          <w:b/>
        </w:rPr>
      </w:pPr>
    </w:p>
    <w:p w:rsidR="00A2502B" w:rsidRPr="00707991" w:rsidRDefault="00A2502B" w:rsidP="00A2502B">
      <w:pPr>
        <w:rPr>
          <w:b/>
          <w:iCs/>
        </w:rPr>
      </w:pPr>
      <w:r w:rsidRPr="00D811AE">
        <w:rPr>
          <w:b/>
        </w:rPr>
        <w:t>094800 – Automotive Technology</w:t>
      </w:r>
      <w:r w:rsidRPr="00707991">
        <w:t xml:space="preserve"> </w:t>
      </w:r>
      <w:r w:rsidR="00A11D44">
        <w:t xml:space="preserve">community college </w:t>
      </w:r>
      <w:r w:rsidRPr="00707991">
        <w:t>program outcomes in</w:t>
      </w:r>
      <w:r w:rsidRPr="00707991">
        <w:rPr>
          <w:iCs/>
        </w:rPr>
        <w:t xml:space="preserve"> the Inland Empire/ Desert Region in academic year 2014</w:t>
      </w:r>
      <w:r w:rsidRPr="00707991">
        <w:rPr>
          <w:iCs/>
        </w:rPr>
        <w:noBreakHyphen/>
        <w:t>15:</w:t>
      </w:r>
    </w:p>
    <w:p w:rsidR="00A2502B" w:rsidRPr="00707991" w:rsidRDefault="00A2502B" w:rsidP="00A2502B">
      <w:pPr>
        <w:pStyle w:val="ListParagraph"/>
        <w:numPr>
          <w:ilvl w:val="0"/>
          <w:numId w:val="2"/>
        </w:numPr>
        <w:rPr>
          <w:b/>
        </w:rPr>
      </w:pPr>
      <w:r w:rsidRPr="00707991">
        <w:t>The median annual wage after program completion is $</w:t>
      </w:r>
      <w:r>
        <w:rPr>
          <w:b/>
        </w:rPr>
        <w:t>18,506</w:t>
      </w:r>
      <w:r w:rsidRPr="00707991">
        <w:t xml:space="preserve"> (Statewide median $</w:t>
      </w:r>
      <w:r w:rsidRPr="00D811AE">
        <w:rPr>
          <w:b/>
        </w:rPr>
        <w:t>2</w:t>
      </w:r>
      <w:r>
        <w:rPr>
          <w:b/>
        </w:rPr>
        <w:t>1,590</w:t>
      </w:r>
      <w:r w:rsidRPr="00707991">
        <w:t>)</w:t>
      </w:r>
    </w:p>
    <w:p w:rsidR="00A2502B" w:rsidRPr="00707991" w:rsidRDefault="00A2502B" w:rsidP="00A250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30</w:t>
      </w:r>
      <w:r w:rsidRPr="00707991">
        <w:t>% of students are earning a living wage</w:t>
      </w:r>
      <w:r>
        <w:rPr>
          <w:b/>
        </w:rPr>
        <w:t xml:space="preserve"> (40</w:t>
      </w:r>
      <w:r w:rsidRPr="00707991">
        <w:t>%)</w:t>
      </w:r>
    </w:p>
    <w:p w:rsidR="00A2502B" w:rsidRPr="00707991" w:rsidRDefault="00A2502B" w:rsidP="00A2502B">
      <w:pPr>
        <w:pStyle w:val="ListParagraph"/>
        <w:numPr>
          <w:ilvl w:val="0"/>
          <w:numId w:val="2"/>
        </w:numPr>
        <w:rPr>
          <w:b/>
        </w:rPr>
      </w:pPr>
      <w:r w:rsidRPr="00707991">
        <w:t xml:space="preserve">Median change in earnings was </w:t>
      </w:r>
      <w:r>
        <w:rPr>
          <w:b/>
        </w:rPr>
        <w:t>76</w:t>
      </w:r>
      <w:r w:rsidRPr="00707991">
        <w:t xml:space="preserve">% </w:t>
      </w:r>
      <w:r>
        <w:rPr>
          <w:b/>
        </w:rPr>
        <w:t>(76</w:t>
      </w:r>
      <w:r w:rsidRPr="00707991">
        <w:t>%)</w:t>
      </w:r>
    </w:p>
    <w:p w:rsidR="00A2502B" w:rsidRPr="00707991" w:rsidRDefault="00A2502B" w:rsidP="00A250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63</w:t>
      </w:r>
      <w:r w:rsidRPr="00707991">
        <w:t>% of students are employed within six months after completing a program</w:t>
      </w:r>
      <w:r>
        <w:rPr>
          <w:b/>
        </w:rPr>
        <w:t xml:space="preserve"> (69</w:t>
      </w:r>
      <w:r w:rsidRPr="00707991">
        <w:t>%)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pStyle w:val="Heading1"/>
              <w:rPr>
                <w:b w:val="0"/>
              </w:rPr>
            </w:pPr>
            <w:r>
              <w:t>A</w:t>
            </w:r>
            <w:r w:rsidRPr="00707991">
              <w:t>ppendix A</w:t>
            </w:r>
          </w:p>
          <w:p w:rsidR="00A2502B" w:rsidRPr="00707991" w:rsidRDefault="00A2502B" w:rsidP="004F74E5">
            <w:pPr>
              <w:pStyle w:val="Heading3"/>
              <w:rPr>
                <w:b w:val="0"/>
                <w:bCs w:val="0"/>
              </w:rPr>
            </w:pPr>
            <w:r w:rsidRPr="00707991">
              <w:t xml:space="preserve">Middle Skill Definition: </w:t>
            </w:r>
          </w:p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Note: Exceptions were made for those already categorized as such. An occupation only needed to meet one criteria.</w:t>
            </w:r>
          </w:p>
        </w:tc>
      </w:tr>
      <w:tr w:rsidR="00A2502B" w:rsidRPr="00707991" w:rsidTr="00A719CA">
        <w:trPr>
          <w:trHeight w:val="37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1. All occupations listed as having some college or associate degree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2. All occupations needing an apprenticeship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3. All occupations with a Bachelor’s degree with ~&gt;= 33% of workers (CPS) having some college to associate degree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4. All occupations with high school or equivalent or no formal education with long-term OTJ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5. All supervisorial occupations (skills-builder qualified)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 xml:space="preserve">6. All occupations with high school or equivalent or no formal education with less than 5 </w:t>
            </w:r>
            <w:proofErr w:type="spellStart"/>
            <w:r w:rsidRPr="00707991">
              <w:rPr>
                <w:rFonts w:eastAsia="Times New Roman" w:cs="Arial"/>
                <w:color w:val="000000"/>
              </w:rPr>
              <w:t>years</w:t>
            </w:r>
            <w:proofErr w:type="spellEnd"/>
            <w:r w:rsidRPr="00707991">
              <w:rPr>
                <w:rFonts w:eastAsia="Times New Roman" w:cs="Arial"/>
                <w:color w:val="000000"/>
              </w:rPr>
              <w:t xml:space="preserve"> work experience = Yes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7. Exceptions for Bachelor’s degree where there is pre-existing CCs level programs</w:t>
            </w:r>
          </w:p>
        </w:tc>
      </w:tr>
      <w:tr w:rsidR="00A2502B" w:rsidRPr="00707991" w:rsidTr="00A719CA">
        <w:trPr>
          <w:trHeight w:val="346"/>
        </w:trPr>
        <w:tc>
          <w:tcPr>
            <w:tcW w:w="12955" w:type="dxa"/>
            <w:hideMark/>
          </w:tcPr>
          <w:p w:rsidR="00A2502B" w:rsidRPr="00707991" w:rsidRDefault="00A2502B" w:rsidP="004F74E5">
            <w:pPr>
              <w:rPr>
                <w:rFonts w:eastAsia="Times New Roman" w:cs="Arial"/>
                <w:b/>
                <w:color w:val="000000"/>
              </w:rPr>
            </w:pPr>
            <w:r w:rsidRPr="00707991">
              <w:rPr>
                <w:rFonts w:eastAsia="Times New Roman" w:cs="Arial"/>
                <w:color w:val="000000"/>
              </w:rPr>
              <w:t>8. Exceptions were made for occupations with high school or equivalent or no formal education with short or moderate OTJ where multiple CCs have pre-existing programs</w:t>
            </w:r>
          </w:p>
        </w:tc>
      </w:tr>
    </w:tbl>
    <w:p w:rsidR="00A2502B" w:rsidRPr="00CD720F" w:rsidRDefault="00A2502B" w:rsidP="003D0314">
      <w:pPr>
        <w:spacing w:after="0" w:line="240" w:lineRule="auto"/>
      </w:pPr>
    </w:p>
    <w:sectPr w:rsidR="00A2502B" w:rsidRPr="00CD720F" w:rsidSect="00CD720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A" w:rsidRDefault="00AC75CA" w:rsidP="00025662">
      <w:pPr>
        <w:spacing w:after="0" w:line="240" w:lineRule="auto"/>
      </w:pPr>
      <w:r>
        <w:separator/>
      </w:r>
    </w:p>
  </w:endnote>
  <w:endnote w:type="continuationSeparator" w:id="0">
    <w:p w:rsidR="00AC75CA" w:rsidRDefault="00AC75CA" w:rsidP="000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8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04" w:rsidRDefault="00497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104" w:rsidRDefault="0049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A" w:rsidRDefault="00AC75CA" w:rsidP="00025662">
      <w:pPr>
        <w:spacing w:after="0" w:line="240" w:lineRule="auto"/>
      </w:pPr>
      <w:r>
        <w:separator/>
      </w:r>
    </w:p>
  </w:footnote>
  <w:footnote w:type="continuationSeparator" w:id="0">
    <w:p w:rsidR="00AC75CA" w:rsidRDefault="00AC75CA" w:rsidP="000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04" w:rsidRDefault="0049710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9729DDF" wp14:editId="4D1F4934">
          <wp:extent cx="2533650" cy="617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761" cy="61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07"/>
    <w:multiLevelType w:val="hybridMultilevel"/>
    <w:tmpl w:val="1D247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366AF"/>
    <w:multiLevelType w:val="hybridMultilevel"/>
    <w:tmpl w:val="0806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2"/>
    <w:rsid w:val="000002EB"/>
    <w:rsid w:val="00015B2D"/>
    <w:rsid w:val="00025662"/>
    <w:rsid w:val="0005026D"/>
    <w:rsid w:val="00061752"/>
    <w:rsid w:val="00076772"/>
    <w:rsid w:val="00082E55"/>
    <w:rsid w:val="000B693A"/>
    <w:rsid w:val="000C1D8F"/>
    <w:rsid w:val="000C67ED"/>
    <w:rsid w:val="000C6F0B"/>
    <w:rsid w:val="00157414"/>
    <w:rsid w:val="00165F15"/>
    <w:rsid w:val="00166B35"/>
    <w:rsid w:val="001B0C27"/>
    <w:rsid w:val="001E665D"/>
    <w:rsid w:val="00210F36"/>
    <w:rsid w:val="00250CB0"/>
    <w:rsid w:val="00275C04"/>
    <w:rsid w:val="00295FAE"/>
    <w:rsid w:val="002A46BC"/>
    <w:rsid w:val="002C5BCE"/>
    <w:rsid w:val="002C5E85"/>
    <w:rsid w:val="002C695D"/>
    <w:rsid w:val="002D6B69"/>
    <w:rsid w:val="00351C65"/>
    <w:rsid w:val="003C3040"/>
    <w:rsid w:val="003D0314"/>
    <w:rsid w:val="003F35BC"/>
    <w:rsid w:val="0041077E"/>
    <w:rsid w:val="00441C82"/>
    <w:rsid w:val="00493730"/>
    <w:rsid w:val="00497104"/>
    <w:rsid w:val="004A0BB3"/>
    <w:rsid w:val="004F2422"/>
    <w:rsid w:val="00535A46"/>
    <w:rsid w:val="00542B64"/>
    <w:rsid w:val="0054694D"/>
    <w:rsid w:val="005572E9"/>
    <w:rsid w:val="0059795E"/>
    <w:rsid w:val="005B032F"/>
    <w:rsid w:val="005C4289"/>
    <w:rsid w:val="005D52C2"/>
    <w:rsid w:val="005E1361"/>
    <w:rsid w:val="00610B9A"/>
    <w:rsid w:val="00615F6B"/>
    <w:rsid w:val="00665381"/>
    <w:rsid w:val="006C3B8E"/>
    <w:rsid w:val="006D3C87"/>
    <w:rsid w:val="0070082B"/>
    <w:rsid w:val="007023B7"/>
    <w:rsid w:val="0070484B"/>
    <w:rsid w:val="00707991"/>
    <w:rsid w:val="00742678"/>
    <w:rsid w:val="007E152D"/>
    <w:rsid w:val="007E6D1A"/>
    <w:rsid w:val="00803004"/>
    <w:rsid w:val="00805F9B"/>
    <w:rsid w:val="0081345A"/>
    <w:rsid w:val="008278F4"/>
    <w:rsid w:val="00860727"/>
    <w:rsid w:val="00866B52"/>
    <w:rsid w:val="008904DD"/>
    <w:rsid w:val="008B2CF4"/>
    <w:rsid w:val="008B4B8A"/>
    <w:rsid w:val="008F23E9"/>
    <w:rsid w:val="00916A44"/>
    <w:rsid w:val="00941562"/>
    <w:rsid w:val="00962561"/>
    <w:rsid w:val="00972DA6"/>
    <w:rsid w:val="00980097"/>
    <w:rsid w:val="009821DA"/>
    <w:rsid w:val="009C12A6"/>
    <w:rsid w:val="00A0015B"/>
    <w:rsid w:val="00A11D44"/>
    <w:rsid w:val="00A2502B"/>
    <w:rsid w:val="00A342FC"/>
    <w:rsid w:val="00A44CD5"/>
    <w:rsid w:val="00A719CA"/>
    <w:rsid w:val="00AC75CA"/>
    <w:rsid w:val="00AE28B0"/>
    <w:rsid w:val="00AE4202"/>
    <w:rsid w:val="00B54709"/>
    <w:rsid w:val="00B54D04"/>
    <w:rsid w:val="00B63AFF"/>
    <w:rsid w:val="00BA0C3A"/>
    <w:rsid w:val="00C01BB0"/>
    <w:rsid w:val="00C149F5"/>
    <w:rsid w:val="00C531E2"/>
    <w:rsid w:val="00C64874"/>
    <w:rsid w:val="00C90067"/>
    <w:rsid w:val="00CC3215"/>
    <w:rsid w:val="00CD6CFF"/>
    <w:rsid w:val="00CD720F"/>
    <w:rsid w:val="00D06F26"/>
    <w:rsid w:val="00D711C3"/>
    <w:rsid w:val="00D736B2"/>
    <w:rsid w:val="00D74C75"/>
    <w:rsid w:val="00D811AE"/>
    <w:rsid w:val="00DB440D"/>
    <w:rsid w:val="00E16C92"/>
    <w:rsid w:val="00E31FAC"/>
    <w:rsid w:val="00EA6225"/>
    <w:rsid w:val="00F011CD"/>
    <w:rsid w:val="00F47FCD"/>
    <w:rsid w:val="00F77992"/>
    <w:rsid w:val="00F915F7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81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5662"/>
  </w:style>
  <w:style w:type="paragraph" w:styleId="Footer">
    <w:name w:val="footer"/>
    <w:basedOn w:val="Normal"/>
    <w:link w:val="Foot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5662"/>
  </w:style>
  <w:style w:type="paragraph" w:styleId="BalloonText">
    <w:name w:val="Balloon Text"/>
    <w:basedOn w:val="Normal"/>
    <w:link w:val="BalloonTextChar"/>
    <w:uiPriority w:val="99"/>
    <w:semiHidden/>
    <w:unhideWhenUsed/>
    <w:rsid w:val="000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15B"/>
  </w:style>
  <w:style w:type="paragraph" w:styleId="FootnoteText">
    <w:name w:val="footnote text"/>
    <w:basedOn w:val="Normal"/>
    <w:link w:val="FootnoteTextChar"/>
    <w:uiPriority w:val="99"/>
    <w:semiHidden/>
    <w:unhideWhenUsed/>
    <w:rsid w:val="008B2CF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665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oSpacing">
    <w:name w:val="No Spacing"/>
    <w:uiPriority w:val="1"/>
    <w:qFormat/>
    <w:rsid w:val="001E665D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1E665D"/>
    <w:pPr>
      <w:spacing w:after="0" w:line="240" w:lineRule="auto"/>
    </w:pPr>
    <w:tblPr>
      <w:tblStyleRowBandSize w:val="1"/>
      <w:tblStyleColBandSize w:val="1"/>
      <w:tblBorders>
        <w:top w:val="single" w:sz="8" w:space="0" w:color="ECA259" w:themeColor="accent3" w:themeTint="BF"/>
        <w:left w:val="single" w:sz="8" w:space="0" w:color="ECA259" w:themeColor="accent3" w:themeTint="BF"/>
        <w:bottom w:val="single" w:sz="8" w:space="0" w:color="ECA259" w:themeColor="accent3" w:themeTint="BF"/>
        <w:right w:val="single" w:sz="8" w:space="0" w:color="ECA259" w:themeColor="accent3" w:themeTint="BF"/>
        <w:insideH w:val="single" w:sz="8" w:space="0" w:color="ECA2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0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665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5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5D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65D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5381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table" w:styleId="TableGrid">
    <w:name w:val="Table Grid"/>
    <w:basedOn w:val="TableNormal"/>
    <w:uiPriority w:val="59"/>
    <w:rsid w:val="00665381"/>
    <w:pPr>
      <w:spacing w:after="0" w:line="240" w:lineRule="auto"/>
    </w:pPr>
    <w:rPr>
      <w:rFonts w:ascii="Tw Cen MT" w:hAnsi="Tw Cen M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65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5381"/>
    <w:rPr>
      <w:rFonts w:ascii="Tw Cen MT" w:hAnsi="Tw Cen MT"/>
      <w:i/>
      <w:iCs/>
      <w:color w:val="000000" w:themeColor="text1"/>
      <w:sz w:val="24"/>
      <w:szCs w:val="24"/>
    </w:rPr>
  </w:style>
  <w:style w:type="table" w:styleId="LightShading-Accent5">
    <w:name w:val="Light Shading Accent 5"/>
    <w:basedOn w:val="TableNormal"/>
    <w:uiPriority w:val="60"/>
    <w:rsid w:val="00860727"/>
    <w:pPr>
      <w:spacing w:after="0" w:line="240" w:lineRule="auto"/>
    </w:pPr>
    <w:rPr>
      <w:color w:val="496617" w:themeColor="accent5" w:themeShade="BF"/>
    </w:rPr>
    <w:tblPr>
      <w:tblStyleRowBandSize w:val="1"/>
      <w:tblStyleColBandSize w:val="1"/>
      <w:tblBorders>
        <w:top w:val="single" w:sz="8" w:space="0" w:color="63891F" w:themeColor="accent5"/>
        <w:bottom w:val="single" w:sz="8" w:space="0" w:color="6389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891F" w:themeColor="accent5"/>
          <w:left w:val="nil"/>
          <w:bottom w:val="single" w:sz="8" w:space="0" w:color="6389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891F" w:themeColor="accent5"/>
          <w:left w:val="nil"/>
          <w:bottom w:val="single" w:sz="8" w:space="0" w:color="6389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60727"/>
    <w:pPr>
      <w:spacing w:after="0" w:line="240" w:lineRule="auto"/>
    </w:pPr>
    <w:tblPr>
      <w:tblStyleRowBandSize w:val="1"/>
      <w:tblStyleColBandSize w:val="1"/>
      <w:tblBorders>
        <w:top w:val="single" w:sz="8" w:space="0" w:color="95CE2F" w:themeColor="accent5" w:themeTint="BF"/>
        <w:left w:val="single" w:sz="8" w:space="0" w:color="95CE2F" w:themeColor="accent5" w:themeTint="BF"/>
        <w:bottom w:val="single" w:sz="8" w:space="0" w:color="95CE2F" w:themeColor="accent5" w:themeTint="BF"/>
        <w:right w:val="single" w:sz="8" w:space="0" w:color="95CE2F" w:themeColor="accent5" w:themeTint="BF"/>
        <w:insideH w:val="single" w:sz="8" w:space="0" w:color="95CE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B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B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D0314"/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D0314"/>
    <w:rPr>
      <w:b/>
      <w:bCs/>
      <w:i/>
      <w:iCs/>
      <w:color w:val="6076B4" w:themeColor="accent1"/>
    </w:rPr>
  </w:style>
  <w:style w:type="paragraph" w:styleId="NormalWeb">
    <w:name w:val="Normal (Web)"/>
    <w:basedOn w:val="Normal"/>
    <w:uiPriority w:val="99"/>
    <w:semiHidden/>
    <w:unhideWhenUsed/>
    <w:rsid w:val="00497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C5E85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719CA"/>
    <w:pPr>
      <w:spacing w:after="0" w:line="240" w:lineRule="auto"/>
    </w:pPr>
    <w:tblPr>
      <w:tblStyleRowBandSize w:val="1"/>
      <w:tblStyleColBandSize w:val="1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  <w:insideH w:val="single" w:sz="8" w:space="0" w:color="63891F" w:themeColor="accent5"/>
        <w:insideV w:val="single" w:sz="8" w:space="0" w:color="6389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18" w:space="0" w:color="63891F" w:themeColor="accent5"/>
          <w:right w:val="single" w:sz="8" w:space="0" w:color="63891F" w:themeColor="accent5"/>
          <w:insideH w:val="nil"/>
          <w:insideV w:val="single" w:sz="8" w:space="0" w:color="6389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H w:val="nil"/>
          <w:insideV w:val="single" w:sz="8" w:space="0" w:color="6389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  <w:shd w:val="clear" w:color="auto" w:fill="DCEFB9" w:themeFill="accent5" w:themeFillTint="3F"/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V w:val="single" w:sz="8" w:space="0" w:color="63891F" w:themeColor="accent5"/>
        </w:tcBorders>
        <w:shd w:val="clear" w:color="auto" w:fill="DCEFB9" w:themeFill="accent5" w:themeFillTint="3F"/>
      </w:tcPr>
    </w:tblStylePr>
    <w:tblStylePr w:type="band2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V w:val="single" w:sz="8" w:space="0" w:color="63891F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81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5662"/>
  </w:style>
  <w:style w:type="paragraph" w:styleId="Footer">
    <w:name w:val="footer"/>
    <w:basedOn w:val="Normal"/>
    <w:link w:val="Foot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5662"/>
  </w:style>
  <w:style w:type="paragraph" w:styleId="BalloonText">
    <w:name w:val="Balloon Text"/>
    <w:basedOn w:val="Normal"/>
    <w:link w:val="BalloonTextChar"/>
    <w:uiPriority w:val="99"/>
    <w:semiHidden/>
    <w:unhideWhenUsed/>
    <w:rsid w:val="000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15B"/>
  </w:style>
  <w:style w:type="paragraph" w:styleId="FootnoteText">
    <w:name w:val="footnote text"/>
    <w:basedOn w:val="Normal"/>
    <w:link w:val="FootnoteTextChar"/>
    <w:uiPriority w:val="99"/>
    <w:semiHidden/>
    <w:unhideWhenUsed/>
    <w:rsid w:val="008B2CF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665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oSpacing">
    <w:name w:val="No Spacing"/>
    <w:uiPriority w:val="1"/>
    <w:qFormat/>
    <w:rsid w:val="001E665D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1E665D"/>
    <w:pPr>
      <w:spacing w:after="0" w:line="240" w:lineRule="auto"/>
    </w:pPr>
    <w:tblPr>
      <w:tblStyleRowBandSize w:val="1"/>
      <w:tblStyleColBandSize w:val="1"/>
      <w:tblBorders>
        <w:top w:val="single" w:sz="8" w:space="0" w:color="ECA259" w:themeColor="accent3" w:themeTint="BF"/>
        <w:left w:val="single" w:sz="8" w:space="0" w:color="ECA259" w:themeColor="accent3" w:themeTint="BF"/>
        <w:bottom w:val="single" w:sz="8" w:space="0" w:color="ECA259" w:themeColor="accent3" w:themeTint="BF"/>
        <w:right w:val="single" w:sz="8" w:space="0" w:color="ECA259" w:themeColor="accent3" w:themeTint="BF"/>
        <w:insideH w:val="single" w:sz="8" w:space="0" w:color="ECA2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0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665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5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5D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65D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5381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table" w:styleId="TableGrid">
    <w:name w:val="Table Grid"/>
    <w:basedOn w:val="TableNormal"/>
    <w:uiPriority w:val="59"/>
    <w:rsid w:val="00665381"/>
    <w:pPr>
      <w:spacing w:after="0" w:line="240" w:lineRule="auto"/>
    </w:pPr>
    <w:rPr>
      <w:rFonts w:ascii="Tw Cen MT" w:hAnsi="Tw Cen M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653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5381"/>
    <w:rPr>
      <w:rFonts w:ascii="Tw Cen MT" w:hAnsi="Tw Cen MT"/>
      <w:i/>
      <w:iCs/>
      <w:color w:val="000000" w:themeColor="text1"/>
      <w:sz w:val="24"/>
      <w:szCs w:val="24"/>
    </w:rPr>
  </w:style>
  <w:style w:type="table" w:styleId="LightShading-Accent5">
    <w:name w:val="Light Shading Accent 5"/>
    <w:basedOn w:val="TableNormal"/>
    <w:uiPriority w:val="60"/>
    <w:rsid w:val="00860727"/>
    <w:pPr>
      <w:spacing w:after="0" w:line="240" w:lineRule="auto"/>
    </w:pPr>
    <w:rPr>
      <w:color w:val="496617" w:themeColor="accent5" w:themeShade="BF"/>
    </w:rPr>
    <w:tblPr>
      <w:tblStyleRowBandSize w:val="1"/>
      <w:tblStyleColBandSize w:val="1"/>
      <w:tblBorders>
        <w:top w:val="single" w:sz="8" w:space="0" w:color="63891F" w:themeColor="accent5"/>
        <w:bottom w:val="single" w:sz="8" w:space="0" w:color="6389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891F" w:themeColor="accent5"/>
          <w:left w:val="nil"/>
          <w:bottom w:val="single" w:sz="8" w:space="0" w:color="6389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891F" w:themeColor="accent5"/>
          <w:left w:val="nil"/>
          <w:bottom w:val="single" w:sz="8" w:space="0" w:color="6389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60727"/>
    <w:pPr>
      <w:spacing w:after="0" w:line="240" w:lineRule="auto"/>
    </w:pPr>
    <w:tblPr>
      <w:tblStyleRowBandSize w:val="1"/>
      <w:tblStyleColBandSize w:val="1"/>
      <w:tblBorders>
        <w:top w:val="single" w:sz="8" w:space="0" w:color="95CE2F" w:themeColor="accent5" w:themeTint="BF"/>
        <w:left w:val="single" w:sz="8" w:space="0" w:color="95CE2F" w:themeColor="accent5" w:themeTint="BF"/>
        <w:bottom w:val="single" w:sz="8" w:space="0" w:color="95CE2F" w:themeColor="accent5" w:themeTint="BF"/>
        <w:right w:val="single" w:sz="8" w:space="0" w:color="95CE2F" w:themeColor="accent5" w:themeTint="BF"/>
        <w:insideH w:val="single" w:sz="8" w:space="0" w:color="95CE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E2F" w:themeColor="accent5" w:themeTint="BF"/>
          <w:left w:val="single" w:sz="8" w:space="0" w:color="95CE2F" w:themeColor="accent5" w:themeTint="BF"/>
          <w:bottom w:val="single" w:sz="8" w:space="0" w:color="95CE2F" w:themeColor="accent5" w:themeTint="BF"/>
          <w:right w:val="single" w:sz="8" w:space="0" w:color="95CE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B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B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D0314"/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D0314"/>
    <w:rPr>
      <w:b/>
      <w:bCs/>
      <w:i/>
      <w:iCs/>
      <w:color w:val="6076B4" w:themeColor="accent1"/>
    </w:rPr>
  </w:style>
  <w:style w:type="paragraph" w:styleId="NormalWeb">
    <w:name w:val="Normal (Web)"/>
    <w:basedOn w:val="Normal"/>
    <w:uiPriority w:val="99"/>
    <w:semiHidden/>
    <w:unhideWhenUsed/>
    <w:rsid w:val="00497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C5E85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719CA"/>
    <w:pPr>
      <w:spacing w:after="0" w:line="240" w:lineRule="auto"/>
    </w:pPr>
    <w:tblPr>
      <w:tblStyleRowBandSize w:val="1"/>
      <w:tblStyleColBandSize w:val="1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  <w:insideH w:val="single" w:sz="8" w:space="0" w:color="63891F" w:themeColor="accent5"/>
        <w:insideV w:val="single" w:sz="8" w:space="0" w:color="6389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18" w:space="0" w:color="63891F" w:themeColor="accent5"/>
          <w:right w:val="single" w:sz="8" w:space="0" w:color="63891F" w:themeColor="accent5"/>
          <w:insideH w:val="nil"/>
          <w:insideV w:val="single" w:sz="8" w:space="0" w:color="6389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H w:val="nil"/>
          <w:insideV w:val="single" w:sz="8" w:space="0" w:color="6389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  <w:shd w:val="clear" w:color="auto" w:fill="DCEFB9" w:themeFill="accent5" w:themeFillTint="3F"/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V w:val="single" w:sz="8" w:space="0" w:color="63891F" w:themeColor="accent5"/>
        </w:tcBorders>
        <w:shd w:val="clear" w:color="auto" w:fill="DCEFB9" w:themeFill="accent5" w:themeFillTint="3F"/>
      </w:tcPr>
    </w:tblStylePr>
    <w:tblStylePr w:type="band2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  <w:insideV w:val="single" w:sz="8" w:space="0" w:color="63891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E358-EE44-4532-A5F0-296F6A2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Goss</dc:creator>
  <cp:lastModifiedBy>Michael Goss</cp:lastModifiedBy>
  <cp:revision>9</cp:revision>
  <dcterms:created xsi:type="dcterms:W3CDTF">2017-10-18T16:25:00Z</dcterms:created>
  <dcterms:modified xsi:type="dcterms:W3CDTF">2017-10-18T21:50:00Z</dcterms:modified>
</cp:coreProperties>
</file>